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7C6" w:rsidRDefault="00ED5A29">
      <w:r>
        <w:t xml:space="preserve"> </w:t>
      </w:r>
      <w:r>
        <w:tab/>
      </w:r>
      <w:r>
        <w:tab/>
      </w:r>
      <w:r w:rsidR="000F41BF">
        <w:rPr>
          <w:noProof/>
        </w:rPr>
        <w:drawing>
          <wp:anchor distT="0" distB="0" distL="114300" distR="114300" simplePos="0" relativeHeight="251668480" behindDoc="1" locked="1" layoutInCell="1" allowOverlap="1" wp14:anchorId="178CD788" wp14:editId="1135362E">
            <wp:simplePos x="0" y="0"/>
            <wp:positionH relativeFrom="page">
              <wp:align>left</wp:align>
            </wp:positionH>
            <wp:positionV relativeFrom="page">
              <wp:posOffset>6350</wp:posOffset>
            </wp:positionV>
            <wp:extent cx="7588250" cy="10723880"/>
            <wp:effectExtent l="0" t="0" r="0" b="1270"/>
            <wp:wrapNone/>
            <wp:docPr id="1" name="Image 1" descr="Une image contenant Graphique, logo, symbo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95840" name="Image 1" descr="Une image contenant Graphique, logo, symbol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0" cy="1072388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rsidR="00444DDB">
        <w:tab/>
      </w:r>
    </w:p>
    <w:p w:rsidR="00D76D9C" w:rsidRDefault="00D76D9C" w:rsidP="00DD38A6">
      <w:pPr>
        <w:pStyle w:val="Sansinterligne"/>
        <w:tabs>
          <w:tab w:val="left" w:pos="4111"/>
        </w:tabs>
        <w:ind w:right="-567"/>
        <w:rPr>
          <w:b/>
          <w:color w:val="7030A0"/>
        </w:rPr>
      </w:pPr>
    </w:p>
    <w:p w:rsidR="00D76D9C" w:rsidRPr="00D76D9C" w:rsidRDefault="00D76D9C" w:rsidP="00D76D9C">
      <w:pPr>
        <w:rPr>
          <w:lang w:eastAsia="fr-FR"/>
        </w:rPr>
      </w:pPr>
    </w:p>
    <w:p w:rsidR="00D76D9C" w:rsidRPr="005915D5" w:rsidRDefault="00D76D9C" w:rsidP="00D76D9C">
      <w:pPr>
        <w:rPr>
          <w:sz w:val="28"/>
          <w:szCs w:val="28"/>
          <w:lang w:eastAsia="fr-FR"/>
        </w:rPr>
      </w:pPr>
      <w:r w:rsidRPr="005915D5">
        <w:rPr>
          <w:b/>
          <w:sz w:val="28"/>
          <w:szCs w:val="28"/>
          <w:lang w:eastAsia="fr-FR"/>
        </w:rPr>
        <w:t xml:space="preserve">L'index de l'égalité femmes-hommes </w:t>
      </w:r>
      <w:r w:rsidRPr="005915D5">
        <w:rPr>
          <w:b/>
          <w:noProof/>
          <w:sz w:val="28"/>
          <w:szCs w:val="28"/>
          <w:lang w:eastAsia="fr-FR"/>
        </w:rPr>
        <w:drawing>
          <wp:anchor distT="0" distB="0" distL="114300" distR="114300" simplePos="0" relativeHeight="251662336" behindDoc="0" locked="0" layoutInCell="1" allowOverlap="1" wp14:anchorId="71E22561" wp14:editId="0BC0FB45">
            <wp:simplePos x="0" y="0"/>
            <wp:positionH relativeFrom="column">
              <wp:posOffset>-3810</wp:posOffset>
            </wp:positionH>
            <wp:positionV relativeFrom="paragraph">
              <wp:posOffset>-635</wp:posOffset>
            </wp:positionV>
            <wp:extent cx="2238375" cy="1562100"/>
            <wp:effectExtent l="0" t="0" r="9525" b="0"/>
            <wp:wrapThrough wrapText="bothSides">
              <wp:wrapPolygon edited="0">
                <wp:start x="0" y="0"/>
                <wp:lineTo x="0" y="21337"/>
                <wp:lineTo x="21508" y="21337"/>
                <wp:lineTo x="21508"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8375" cy="1562100"/>
                    </a:xfrm>
                    <a:prstGeom prst="rect">
                      <a:avLst/>
                    </a:prstGeom>
                  </pic:spPr>
                </pic:pic>
              </a:graphicData>
            </a:graphic>
          </wp:anchor>
        </w:drawing>
      </w:r>
    </w:p>
    <w:p w:rsidR="00D76D9C" w:rsidRDefault="00D76D9C" w:rsidP="00D76D9C">
      <w:pPr>
        <w:rPr>
          <w:lang w:eastAsia="fr-FR"/>
        </w:rPr>
      </w:pPr>
      <w:r w:rsidRPr="00D76D9C">
        <w:rPr>
          <w:lang w:eastAsia="fr-FR"/>
        </w:rPr>
        <w:t>L'index de l'égalité femmes-hommes est un outil mis en place graduellement depuis 2019 par le ministère du Travail afin de supprimer les inégalités professionnelles entre les femmes et les hommes dans les entreprises. Publié chaque année au plus tard le 1er mars au titre de l'année précédente, il est maintenant obligatoire pour toutes les entreprises d'au moins 50 salariés.</w:t>
      </w:r>
      <w:r>
        <w:rPr>
          <w:lang w:eastAsia="fr-FR"/>
        </w:rPr>
        <w:t xml:space="preserve"> Vous pouvez trouver l’ensemble des données à jour sous :</w:t>
      </w:r>
      <w:r w:rsidRPr="00D76D9C">
        <w:rPr>
          <w:color w:val="0070C0"/>
          <w:lang w:eastAsia="fr-FR"/>
        </w:rPr>
        <w:t xml:space="preserve"> https://index-egapro.travail.gouv.fr</w:t>
      </w:r>
    </w:p>
    <w:p w:rsidR="00D76D9C" w:rsidRPr="00914BC5" w:rsidRDefault="00D76D9C" w:rsidP="00D76D9C">
      <w:pPr>
        <w:rPr>
          <w:b/>
          <w:color w:val="0070C0"/>
          <w:lang w:eastAsia="fr-FR"/>
        </w:rPr>
      </w:pPr>
      <w:r w:rsidRPr="00914BC5">
        <w:rPr>
          <w:b/>
          <w:color w:val="0070C0"/>
          <w:lang w:eastAsia="fr-FR"/>
        </w:rPr>
        <w:t>Comment ça fonctionne ?</w:t>
      </w:r>
    </w:p>
    <w:p w:rsidR="00D76D9C" w:rsidRDefault="00D76D9C" w:rsidP="00D76D9C">
      <w:pPr>
        <w:rPr>
          <w:lang w:eastAsia="fr-FR"/>
        </w:rPr>
      </w:pPr>
      <w:r>
        <w:rPr>
          <w:lang w:eastAsia="fr-FR"/>
        </w:rPr>
        <w:t>L'index de l'égalité femmes-hommes se compose de 4 grands critères qui évaluent les inégalités entre femmes et hommes dans les entreprises sous la forme d'une note sur 100 :</w:t>
      </w:r>
    </w:p>
    <w:p w:rsidR="00D76D9C" w:rsidRPr="00D76D9C" w:rsidRDefault="00D76D9C" w:rsidP="00D76D9C">
      <w:pPr>
        <w:rPr>
          <w:b/>
          <w:lang w:eastAsia="fr-FR"/>
        </w:rPr>
      </w:pPr>
      <w:r w:rsidRPr="00D76D9C">
        <w:rPr>
          <w:b/>
          <w:lang w:eastAsia="fr-FR"/>
        </w:rPr>
        <w:t>L'écart de rémunération entre les femmes et les hommes (compte pour 40 points de la note)</w:t>
      </w:r>
    </w:p>
    <w:p w:rsidR="00D76D9C" w:rsidRDefault="00D76D9C" w:rsidP="00D76D9C">
      <w:pPr>
        <w:rPr>
          <w:lang w:eastAsia="fr-FR"/>
        </w:rPr>
      </w:pPr>
      <w:r>
        <w:rPr>
          <w:lang w:eastAsia="fr-FR"/>
        </w:rPr>
        <w:t>L'indicateur recense les rémunérations moyennes des femmes et des hommes dans une entreprise. Les primes de performance et avantages en nature sont prises en compte, mais pas les primes liées aux conditions de travail, de départ et de précarité.</w:t>
      </w:r>
    </w:p>
    <w:p w:rsidR="00D76D9C" w:rsidRDefault="00D76D9C" w:rsidP="00D76D9C">
      <w:pPr>
        <w:rPr>
          <w:lang w:eastAsia="fr-FR"/>
        </w:rPr>
      </w:pPr>
      <w:r>
        <w:rPr>
          <w:lang w:eastAsia="fr-FR"/>
        </w:rPr>
        <w:t>Pour obtenir l'intégralité des 40 points, une société devra ramener l'écart entre la rémunération des femmes et celle des hommes à zéro.</w:t>
      </w:r>
    </w:p>
    <w:p w:rsidR="00D76D9C" w:rsidRPr="00D76D9C" w:rsidRDefault="00D76D9C" w:rsidP="00D76D9C">
      <w:pPr>
        <w:rPr>
          <w:b/>
          <w:lang w:eastAsia="fr-FR"/>
        </w:rPr>
      </w:pPr>
      <w:r w:rsidRPr="00D76D9C">
        <w:rPr>
          <w:b/>
          <w:lang w:eastAsia="fr-FR"/>
        </w:rPr>
        <w:t xml:space="preserve">L'écart de répartition des augmentations individuelles (compte pour </w:t>
      </w:r>
      <w:r>
        <w:rPr>
          <w:b/>
          <w:lang w:eastAsia="fr-FR"/>
        </w:rPr>
        <w:t>35</w:t>
      </w:r>
      <w:r w:rsidRPr="00D76D9C">
        <w:rPr>
          <w:b/>
          <w:lang w:eastAsia="fr-FR"/>
        </w:rPr>
        <w:t xml:space="preserve"> points)</w:t>
      </w:r>
    </w:p>
    <w:p w:rsidR="00D76D9C" w:rsidRDefault="00D76D9C" w:rsidP="00D76D9C">
      <w:pPr>
        <w:rPr>
          <w:lang w:eastAsia="fr-FR"/>
        </w:rPr>
      </w:pPr>
      <w:r>
        <w:rPr>
          <w:lang w:eastAsia="fr-FR"/>
        </w:rPr>
        <w:t>L'indicateur évalue le pourcentage de femmes et d'hommes qui ont perçu une augmentation dans l'année. Pour obtenir l'intégralité des points, une entreprise devra accorder les mêmes augmentations aux femmes qu'aux hommes, à 2 % près ou à 2 personnes près.</w:t>
      </w:r>
    </w:p>
    <w:p w:rsidR="00D76D9C" w:rsidRPr="00D76D9C" w:rsidRDefault="00D76D9C" w:rsidP="00D76D9C">
      <w:pPr>
        <w:rPr>
          <w:b/>
          <w:lang w:eastAsia="fr-FR"/>
        </w:rPr>
      </w:pPr>
      <w:r w:rsidRPr="00D76D9C">
        <w:rPr>
          <w:b/>
          <w:lang w:eastAsia="fr-FR"/>
        </w:rPr>
        <w:t>Le nombre de salariées augmentées à leur retour de congé de maternité (compte pour 15 points).</w:t>
      </w:r>
    </w:p>
    <w:p w:rsidR="00D76D9C" w:rsidRDefault="00D76D9C" w:rsidP="00D76D9C">
      <w:pPr>
        <w:rPr>
          <w:lang w:eastAsia="fr-FR"/>
        </w:rPr>
      </w:pPr>
      <w:r>
        <w:rPr>
          <w:lang w:eastAsia="fr-FR"/>
        </w:rPr>
        <w:t>La totalité de la note sera attribuée à une entreprise qui accorde une augmentation aux femmes revenant d'un congé maternité. Si une seule salariée dans cette situation ne perçoit pas d'augmentation, aucun point ne sera accordé à l'entreprise pour ce critère.</w:t>
      </w:r>
    </w:p>
    <w:p w:rsidR="00D76D9C" w:rsidRPr="00D76D9C" w:rsidRDefault="00D76D9C" w:rsidP="00D76D9C">
      <w:pPr>
        <w:rPr>
          <w:b/>
          <w:lang w:eastAsia="fr-FR"/>
        </w:rPr>
      </w:pPr>
      <w:r w:rsidRPr="00D76D9C">
        <w:rPr>
          <w:b/>
          <w:lang w:eastAsia="fr-FR"/>
        </w:rPr>
        <w:t>La parité parmi les 10 plus hautes rémunérations (compte pour 10 points).</w:t>
      </w:r>
    </w:p>
    <w:p w:rsidR="00D76D9C" w:rsidRDefault="00D76D9C" w:rsidP="00D76D9C">
      <w:pPr>
        <w:rPr>
          <w:lang w:eastAsia="fr-FR"/>
        </w:rPr>
      </w:pPr>
      <w:r w:rsidRPr="00914BC5">
        <w:rPr>
          <w:lang w:eastAsia="fr-FR"/>
        </w:rPr>
        <w:t>Pour obtenir ces 10 derniers points, une entreprise devra compter au moins 4 femmes parmi ses 10 plus hauts salaires.</w:t>
      </w:r>
    </w:p>
    <w:p w:rsidR="00914BC5" w:rsidRPr="00914BC5" w:rsidRDefault="00914BC5" w:rsidP="00914BC5">
      <w:pPr>
        <w:rPr>
          <w:lang w:eastAsia="fr-FR"/>
        </w:rPr>
      </w:pPr>
      <w:r>
        <w:rPr>
          <w:lang w:eastAsia="fr-FR"/>
        </w:rPr>
        <w:t xml:space="preserve">Tous les </w:t>
      </w:r>
      <w:r w:rsidRPr="00914BC5">
        <w:rPr>
          <w:lang w:eastAsia="fr-FR"/>
        </w:rPr>
        <w:t>indicateur</w:t>
      </w:r>
      <w:r>
        <w:rPr>
          <w:lang w:eastAsia="fr-FR"/>
        </w:rPr>
        <w:t>s</w:t>
      </w:r>
      <w:r w:rsidRPr="00914BC5">
        <w:rPr>
          <w:lang w:eastAsia="fr-FR"/>
        </w:rPr>
        <w:t xml:space="preserve"> </w:t>
      </w:r>
      <w:r>
        <w:rPr>
          <w:lang w:eastAsia="fr-FR"/>
        </w:rPr>
        <w:t>ne sont pas</w:t>
      </w:r>
      <w:r w:rsidRPr="00914BC5">
        <w:rPr>
          <w:lang w:eastAsia="fr-FR"/>
        </w:rPr>
        <w:t xml:space="preserve"> calculable</w:t>
      </w:r>
      <w:r>
        <w:rPr>
          <w:lang w:eastAsia="fr-FR"/>
        </w:rPr>
        <w:t>, compte tenu des chiffres (par exemple : pas de retour de congés maternité, répartition H/F ne comprenant pas un effectif significatif, …)</w:t>
      </w:r>
    </w:p>
    <w:p w:rsidR="00914BC5" w:rsidRPr="00914BC5" w:rsidRDefault="00914BC5" w:rsidP="00914BC5">
      <w:pPr>
        <w:rPr>
          <w:b/>
          <w:color w:val="0070C0"/>
          <w:lang w:eastAsia="fr-FR"/>
        </w:rPr>
      </w:pPr>
      <w:r w:rsidRPr="00914BC5">
        <w:rPr>
          <w:b/>
          <w:color w:val="0070C0"/>
          <w:lang w:eastAsia="fr-FR"/>
        </w:rPr>
        <w:t>Les sanctions</w:t>
      </w:r>
    </w:p>
    <w:p w:rsidR="00914BC5" w:rsidRDefault="00914BC5" w:rsidP="00914BC5">
      <w:pPr>
        <w:rPr>
          <w:lang w:eastAsia="fr-FR"/>
        </w:rPr>
      </w:pPr>
      <w:r>
        <w:rPr>
          <w:lang w:eastAsia="fr-FR"/>
        </w:rPr>
        <w:t>En cas d'index inférieur à 75 points, l'entreprise doit mettre en place des mesures correctives pour atteindre au moins 75 points dans un délai de 3 ans. Ces mesures doivent être définies dans le cadre de la négociation obligatoire sur l'égalité professionnelle, ou, à défaut d'accord, par décision unilatérale de l'employeur et après consultation du CSE.</w:t>
      </w:r>
    </w:p>
    <w:p w:rsidR="00914BC5" w:rsidRDefault="00914BC5" w:rsidP="00914BC5">
      <w:pPr>
        <w:rPr>
          <w:lang w:eastAsia="fr-FR"/>
        </w:rPr>
      </w:pPr>
      <w:r>
        <w:rPr>
          <w:lang w:eastAsia="fr-FR"/>
        </w:rPr>
        <w:t>En cas de non publication de son index, de non mise en œuvre de mesures correctives ou d'inefficience de celles-ci, l'entreprise s'expose à une pénalité financière pouvant aller jusqu'à 1 % de sa masse salariale annuelle.</w:t>
      </w:r>
    </w:p>
    <w:p w:rsidR="005915D5" w:rsidRDefault="005915D5" w:rsidP="00914BC5">
      <w:pPr>
        <w:rPr>
          <w:lang w:eastAsia="fr-FR"/>
        </w:rPr>
      </w:pPr>
    </w:p>
    <w:p w:rsidR="005915D5" w:rsidRDefault="005915D5" w:rsidP="00914BC5">
      <w:pPr>
        <w:rPr>
          <w:lang w:eastAsia="fr-FR"/>
        </w:rPr>
      </w:pPr>
    </w:p>
    <w:p w:rsidR="005915D5" w:rsidRDefault="000F41BF" w:rsidP="00914BC5">
      <w:pPr>
        <w:rPr>
          <w:lang w:eastAsia="fr-FR"/>
        </w:rPr>
      </w:pPr>
      <w:r>
        <w:rPr>
          <w:noProof/>
        </w:rPr>
        <w:lastRenderedPageBreak/>
        <w:drawing>
          <wp:anchor distT="0" distB="0" distL="114300" distR="114300" simplePos="0" relativeHeight="251670528" behindDoc="1" locked="1" layoutInCell="1" allowOverlap="1" wp14:anchorId="5DF00C0C" wp14:editId="5D0AFF33">
            <wp:simplePos x="0" y="0"/>
            <wp:positionH relativeFrom="page">
              <wp:align>left</wp:align>
            </wp:positionH>
            <wp:positionV relativeFrom="page">
              <wp:align>bottom</wp:align>
            </wp:positionV>
            <wp:extent cx="7588250" cy="10723880"/>
            <wp:effectExtent l="0" t="0" r="0" b="1270"/>
            <wp:wrapNone/>
            <wp:docPr id="7" name="Image 7" descr="Une image contenant Graphique, logo, symbol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95840" name="Image 1" descr="Une image contenant Graphique, logo, symbol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8250" cy="10723880"/>
                    </a:xfrm>
                    <a:prstGeom prst="rect">
                      <a:avLst/>
                    </a:prstGeom>
                  </pic:spPr>
                </pic:pic>
              </a:graphicData>
            </a:graphic>
            <wp14:sizeRelH relativeFrom="margin">
              <wp14:pctWidth>0</wp14:pctWidth>
            </wp14:sizeRelH>
            <wp14:sizeRelV relativeFrom="margin">
              <wp14:pctHeight>0</wp14:pctHeight>
            </wp14:sizeRelV>
          </wp:anchor>
        </w:drawing>
      </w:r>
    </w:p>
    <w:p w:rsidR="005915D5" w:rsidRDefault="005915D5" w:rsidP="005915D5">
      <w:pPr>
        <w:rPr>
          <w:lang w:eastAsia="fr-FR"/>
        </w:rPr>
      </w:pPr>
    </w:p>
    <w:p w:rsidR="005915D5" w:rsidRDefault="005915D5" w:rsidP="005915D5">
      <w:pPr>
        <w:jc w:val="center"/>
        <w:rPr>
          <w:b/>
          <w:sz w:val="28"/>
          <w:szCs w:val="28"/>
          <w:lang w:eastAsia="fr-FR"/>
        </w:rPr>
      </w:pPr>
      <w:r w:rsidRPr="005915D5">
        <w:rPr>
          <w:b/>
          <w:sz w:val="28"/>
          <w:szCs w:val="28"/>
          <w:lang w:eastAsia="fr-FR"/>
        </w:rPr>
        <w:t xml:space="preserve">L'index de l'égalité femmes-hommes </w:t>
      </w:r>
      <w:r w:rsidRPr="005915D5">
        <w:rPr>
          <w:b/>
          <w:noProof/>
          <w:sz w:val="28"/>
          <w:szCs w:val="28"/>
          <w:lang w:eastAsia="fr-FR"/>
        </w:rPr>
        <w:drawing>
          <wp:anchor distT="0" distB="0" distL="114300" distR="114300" simplePos="0" relativeHeight="251666432" behindDoc="0" locked="0" layoutInCell="1" allowOverlap="1" wp14:anchorId="4E446C6E" wp14:editId="3200A62E">
            <wp:simplePos x="0" y="0"/>
            <wp:positionH relativeFrom="column">
              <wp:posOffset>-3810</wp:posOffset>
            </wp:positionH>
            <wp:positionV relativeFrom="paragraph">
              <wp:posOffset>-635</wp:posOffset>
            </wp:positionV>
            <wp:extent cx="2238375" cy="1562100"/>
            <wp:effectExtent l="0" t="0" r="9525" b="0"/>
            <wp:wrapThrough wrapText="bothSides">
              <wp:wrapPolygon edited="0">
                <wp:start x="0" y="0"/>
                <wp:lineTo x="0" y="21337"/>
                <wp:lineTo x="21508" y="21337"/>
                <wp:lineTo x="2150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238375" cy="1562100"/>
                    </a:xfrm>
                    <a:prstGeom prst="rect">
                      <a:avLst/>
                    </a:prstGeom>
                  </pic:spPr>
                </pic:pic>
              </a:graphicData>
            </a:graphic>
          </wp:anchor>
        </w:drawing>
      </w:r>
      <w:r w:rsidR="000F41BF">
        <w:rPr>
          <w:b/>
          <w:noProof/>
          <w:sz w:val="28"/>
          <w:szCs w:val="28"/>
          <w:lang w:eastAsia="fr-FR"/>
        </w:rPr>
        <w:t>2020-2024</w:t>
      </w:r>
      <w:r w:rsidR="00BD6F24">
        <w:rPr>
          <w:b/>
          <w:sz w:val="28"/>
          <w:szCs w:val="28"/>
          <w:lang w:eastAsia="fr-FR"/>
        </w:rPr>
        <w:t xml:space="preserve"> </w:t>
      </w:r>
      <w:r>
        <w:rPr>
          <w:b/>
          <w:sz w:val="28"/>
          <w:szCs w:val="28"/>
          <w:lang w:eastAsia="fr-FR"/>
        </w:rPr>
        <w:t xml:space="preserve">chez </w:t>
      </w:r>
      <w:r w:rsidR="000F41BF">
        <w:rPr>
          <w:b/>
          <w:sz w:val="28"/>
          <w:szCs w:val="28"/>
          <w:lang w:eastAsia="fr-FR"/>
        </w:rPr>
        <w:t>EOLE</w:t>
      </w:r>
    </w:p>
    <w:p w:rsidR="005915D5" w:rsidRPr="005915D5" w:rsidRDefault="000F41BF" w:rsidP="000F41BF">
      <w:pPr>
        <w:rPr>
          <w:sz w:val="28"/>
          <w:szCs w:val="28"/>
          <w:lang w:eastAsia="fr-FR"/>
        </w:rPr>
      </w:pPr>
      <w:r>
        <w:rPr>
          <w:b/>
          <w:color w:val="70AD47" w:themeColor="accent6"/>
          <w:sz w:val="28"/>
          <w:szCs w:val="28"/>
          <w:lang w:eastAsia="fr-FR"/>
        </w:rPr>
        <w:t xml:space="preserve">    </w:t>
      </w:r>
      <w:r w:rsidR="005915D5" w:rsidRPr="005915D5">
        <w:rPr>
          <w:b/>
          <w:color w:val="70AD47" w:themeColor="accent6"/>
          <w:sz w:val="28"/>
          <w:szCs w:val="28"/>
          <w:lang w:eastAsia="fr-FR"/>
        </w:rPr>
        <w:t>20</w:t>
      </w:r>
      <w:r>
        <w:rPr>
          <w:b/>
          <w:color w:val="70AD47" w:themeColor="accent6"/>
          <w:sz w:val="28"/>
          <w:szCs w:val="28"/>
          <w:lang w:eastAsia="fr-FR"/>
        </w:rPr>
        <w:t>20</w:t>
      </w:r>
      <w:r w:rsidR="005915D5" w:rsidRPr="005915D5">
        <w:rPr>
          <w:b/>
          <w:color w:val="70AD47" w:themeColor="accent6"/>
          <w:sz w:val="28"/>
          <w:szCs w:val="28"/>
          <w:lang w:eastAsia="fr-FR"/>
        </w:rPr>
        <w:t xml:space="preserve">: </w:t>
      </w:r>
      <w:r>
        <w:rPr>
          <w:b/>
          <w:color w:val="70AD47" w:themeColor="accent6"/>
          <w:sz w:val="28"/>
          <w:szCs w:val="28"/>
          <w:lang w:eastAsia="fr-FR"/>
        </w:rPr>
        <w:t>82</w:t>
      </w:r>
      <w:r w:rsidR="005915D5" w:rsidRPr="005915D5">
        <w:rPr>
          <w:b/>
          <w:color w:val="70AD47" w:themeColor="accent6"/>
          <w:sz w:val="28"/>
          <w:szCs w:val="28"/>
          <w:lang w:eastAsia="fr-FR"/>
        </w:rPr>
        <w:t xml:space="preserve">/100 </w:t>
      </w:r>
      <w:r>
        <w:rPr>
          <w:lang w:eastAsia="fr-FR"/>
        </w:rPr>
        <w:t xml:space="preserve"> </w:t>
      </w:r>
    </w:p>
    <w:p w:rsidR="005915D5" w:rsidRDefault="000F41BF" w:rsidP="000F41BF">
      <w:pPr>
        <w:rPr>
          <w:lang w:eastAsia="fr-FR"/>
        </w:rPr>
      </w:pPr>
      <w:r>
        <w:rPr>
          <w:b/>
          <w:color w:val="70AD47" w:themeColor="accent6"/>
          <w:sz w:val="28"/>
          <w:szCs w:val="28"/>
          <w:lang w:eastAsia="fr-FR"/>
        </w:rPr>
        <w:t xml:space="preserve">    </w:t>
      </w:r>
      <w:r w:rsidR="005915D5" w:rsidRPr="005915D5">
        <w:rPr>
          <w:b/>
          <w:color w:val="70AD47" w:themeColor="accent6"/>
          <w:sz w:val="28"/>
          <w:szCs w:val="28"/>
          <w:lang w:eastAsia="fr-FR"/>
        </w:rPr>
        <w:t>20</w:t>
      </w:r>
      <w:r w:rsidR="005915D5">
        <w:rPr>
          <w:b/>
          <w:color w:val="70AD47" w:themeColor="accent6"/>
          <w:sz w:val="28"/>
          <w:szCs w:val="28"/>
          <w:lang w:eastAsia="fr-FR"/>
        </w:rPr>
        <w:t>2</w:t>
      </w:r>
      <w:r>
        <w:rPr>
          <w:b/>
          <w:color w:val="70AD47" w:themeColor="accent6"/>
          <w:sz w:val="28"/>
          <w:szCs w:val="28"/>
          <w:lang w:eastAsia="fr-FR"/>
        </w:rPr>
        <w:t>1</w:t>
      </w:r>
      <w:r w:rsidR="005915D5" w:rsidRPr="005915D5">
        <w:rPr>
          <w:b/>
          <w:color w:val="70AD47" w:themeColor="accent6"/>
          <w:sz w:val="28"/>
          <w:szCs w:val="28"/>
          <w:lang w:eastAsia="fr-FR"/>
        </w:rPr>
        <w:t xml:space="preserve"> : </w:t>
      </w:r>
      <w:r>
        <w:rPr>
          <w:b/>
          <w:color w:val="70AD47" w:themeColor="accent6"/>
          <w:sz w:val="28"/>
          <w:szCs w:val="28"/>
          <w:lang w:eastAsia="fr-FR"/>
        </w:rPr>
        <w:t>75</w:t>
      </w:r>
      <w:r w:rsidR="005915D5" w:rsidRPr="005915D5">
        <w:rPr>
          <w:b/>
          <w:color w:val="70AD47" w:themeColor="accent6"/>
          <w:sz w:val="28"/>
          <w:szCs w:val="28"/>
          <w:lang w:eastAsia="fr-FR"/>
        </w:rPr>
        <w:t>/100</w:t>
      </w:r>
    </w:p>
    <w:p w:rsidR="00BD6F24" w:rsidRDefault="00BD6F24" w:rsidP="00BD6F24">
      <w:pPr>
        <w:rPr>
          <w:lang w:eastAsia="fr-FR"/>
        </w:rPr>
      </w:pPr>
      <w:r>
        <w:rPr>
          <w:b/>
          <w:color w:val="70AD47" w:themeColor="accent6"/>
          <w:sz w:val="28"/>
          <w:szCs w:val="28"/>
          <w:lang w:eastAsia="fr-FR"/>
        </w:rPr>
        <w:t xml:space="preserve">    202</w:t>
      </w:r>
      <w:r w:rsidR="000F41BF">
        <w:rPr>
          <w:b/>
          <w:color w:val="70AD47" w:themeColor="accent6"/>
          <w:sz w:val="28"/>
          <w:szCs w:val="28"/>
          <w:lang w:eastAsia="fr-FR"/>
        </w:rPr>
        <w:t>2</w:t>
      </w:r>
      <w:r>
        <w:rPr>
          <w:b/>
          <w:color w:val="70AD47" w:themeColor="accent6"/>
          <w:sz w:val="28"/>
          <w:szCs w:val="28"/>
          <w:lang w:eastAsia="fr-FR"/>
        </w:rPr>
        <w:t xml:space="preserve"> : </w:t>
      </w:r>
      <w:r w:rsidR="000F41BF">
        <w:rPr>
          <w:b/>
          <w:color w:val="70AD47" w:themeColor="accent6"/>
          <w:sz w:val="28"/>
          <w:szCs w:val="28"/>
          <w:lang w:eastAsia="fr-FR"/>
        </w:rPr>
        <w:t>92</w:t>
      </w:r>
      <w:r>
        <w:rPr>
          <w:b/>
          <w:color w:val="70AD47" w:themeColor="accent6"/>
          <w:sz w:val="28"/>
          <w:szCs w:val="28"/>
          <w:lang w:eastAsia="fr-FR"/>
        </w:rPr>
        <w:t>/100</w:t>
      </w:r>
    </w:p>
    <w:p w:rsidR="00E85A14" w:rsidRDefault="00E85A14" w:rsidP="00E85A14">
      <w:pPr>
        <w:tabs>
          <w:tab w:val="left" w:pos="1725"/>
        </w:tabs>
        <w:rPr>
          <w:b/>
          <w:color w:val="70AD47" w:themeColor="accent6"/>
          <w:sz w:val="28"/>
          <w:szCs w:val="28"/>
          <w:lang w:eastAsia="fr-FR"/>
        </w:rPr>
      </w:pPr>
      <w:r>
        <w:rPr>
          <w:b/>
          <w:color w:val="70AD47" w:themeColor="accent6"/>
          <w:sz w:val="28"/>
          <w:szCs w:val="28"/>
          <w:lang w:eastAsia="fr-FR"/>
        </w:rPr>
        <w:t xml:space="preserve">    202</w:t>
      </w:r>
      <w:r w:rsidR="000F41BF">
        <w:rPr>
          <w:b/>
          <w:color w:val="70AD47" w:themeColor="accent6"/>
          <w:sz w:val="28"/>
          <w:szCs w:val="28"/>
          <w:lang w:eastAsia="fr-FR"/>
        </w:rPr>
        <w:t>3</w:t>
      </w:r>
      <w:r>
        <w:rPr>
          <w:b/>
          <w:color w:val="70AD47" w:themeColor="accent6"/>
          <w:sz w:val="28"/>
          <w:szCs w:val="28"/>
          <w:lang w:eastAsia="fr-FR"/>
        </w:rPr>
        <w:t xml:space="preserve"> : </w:t>
      </w:r>
      <w:r w:rsidR="000F41BF">
        <w:rPr>
          <w:b/>
          <w:color w:val="70AD47" w:themeColor="accent6"/>
          <w:sz w:val="28"/>
          <w:szCs w:val="28"/>
          <w:lang w:eastAsia="fr-FR"/>
        </w:rPr>
        <w:t>84</w:t>
      </w:r>
      <w:r>
        <w:rPr>
          <w:b/>
          <w:color w:val="70AD47" w:themeColor="accent6"/>
          <w:sz w:val="28"/>
          <w:szCs w:val="28"/>
          <w:lang w:eastAsia="fr-FR"/>
        </w:rPr>
        <w:t>/100</w:t>
      </w:r>
    </w:p>
    <w:p w:rsidR="00F06E48" w:rsidRPr="00F06E48" w:rsidRDefault="00F06E48" w:rsidP="00F06E48">
      <w:pPr>
        <w:tabs>
          <w:tab w:val="left" w:pos="1725"/>
        </w:tabs>
        <w:rPr>
          <w:b/>
          <w:lang w:eastAsia="fr-FR"/>
        </w:rPr>
      </w:pPr>
      <w:r>
        <w:rPr>
          <w:b/>
          <w:lang w:eastAsia="fr-FR"/>
        </w:rPr>
        <w:t>Les chiffres</w:t>
      </w:r>
      <w:r w:rsidRPr="00F06E48">
        <w:rPr>
          <w:b/>
          <w:lang w:eastAsia="fr-FR"/>
        </w:rPr>
        <w:t xml:space="preserve"> en détail</w:t>
      </w:r>
      <w:r w:rsidR="00E85A14">
        <w:rPr>
          <w:b/>
          <w:lang w:eastAsia="fr-FR"/>
        </w:rPr>
        <w:t xml:space="preserve"> pour l’année 202</w:t>
      </w:r>
      <w:r w:rsidR="000F41BF">
        <w:rPr>
          <w:b/>
          <w:lang w:eastAsia="fr-FR"/>
        </w:rPr>
        <w:t>4</w:t>
      </w:r>
      <w:r w:rsidRPr="00F06E48">
        <w:rPr>
          <w:b/>
          <w:lang w:eastAsia="fr-FR"/>
        </w:rPr>
        <w:t> :</w:t>
      </w:r>
    </w:p>
    <w:p w:rsidR="00F06E48" w:rsidRDefault="000F41BF" w:rsidP="00F06E48">
      <w:pPr>
        <w:tabs>
          <w:tab w:val="left" w:pos="1725"/>
        </w:tabs>
        <w:rPr>
          <w:lang w:eastAsia="fr-FR"/>
        </w:rPr>
      </w:pPr>
      <w:r w:rsidRPr="000F41BF">
        <w:drawing>
          <wp:inline distT="0" distB="0" distL="0" distR="0">
            <wp:extent cx="6930390" cy="2629884"/>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0390" cy="2629884"/>
                    </a:xfrm>
                    <a:prstGeom prst="rect">
                      <a:avLst/>
                    </a:prstGeom>
                    <a:noFill/>
                    <a:ln>
                      <a:noFill/>
                    </a:ln>
                  </pic:spPr>
                </pic:pic>
              </a:graphicData>
            </a:graphic>
          </wp:inline>
        </w:drawing>
      </w:r>
    </w:p>
    <w:p w:rsidR="00E85A14" w:rsidRDefault="00E85A14" w:rsidP="00F06E48">
      <w:pPr>
        <w:tabs>
          <w:tab w:val="left" w:pos="1725"/>
        </w:tabs>
        <w:rPr>
          <w:lang w:eastAsia="fr-FR"/>
        </w:rPr>
      </w:pPr>
      <w:r>
        <w:rPr>
          <w:lang w:eastAsia="fr-FR"/>
        </w:rPr>
        <w:t xml:space="preserve">L’écart chez </w:t>
      </w:r>
      <w:r w:rsidR="000F41BF">
        <w:rPr>
          <w:lang w:eastAsia="fr-FR"/>
        </w:rPr>
        <w:t>EOLE</w:t>
      </w:r>
      <w:r>
        <w:rPr>
          <w:lang w:eastAsia="fr-FR"/>
        </w:rPr>
        <w:t xml:space="preserve"> est en faveur des femmes, puisque </w:t>
      </w:r>
      <w:r w:rsidR="000F41BF">
        <w:rPr>
          <w:lang w:eastAsia="fr-FR"/>
        </w:rPr>
        <w:t>6</w:t>
      </w:r>
      <w:r>
        <w:rPr>
          <w:lang w:eastAsia="fr-FR"/>
        </w:rPr>
        <w:t xml:space="preserve"> femmes composent les 10 plus hautes fonctions de l’Association et l’écart de rémunération de </w:t>
      </w:r>
      <w:r w:rsidR="000F41BF">
        <w:rPr>
          <w:lang w:eastAsia="fr-FR"/>
        </w:rPr>
        <w:t>1.3</w:t>
      </w:r>
      <w:r>
        <w:rPr>
          <w:lang w:eastAsia="fr-FR"/>
        </w:rPr>
        <w:t>% est en faveur des femmes</w:t>
      </w:r>
      <w:r w:rsidR="000F41BF">
        <w:rPr>
          <w:lang w:eastAsia="fr-FR"/>
        </w:rPr>
        <w:t>.</w:t>
      </w:r>
      <w:bookmarkStart w:id="0" w:name="_GoBack"/>
      <w:bookmarkEnd w:id="0"/>
    </w:p>
    <w:sectPr w:rsidR="00E85A14" w:rsidSect="000F41BF">
      <w:headerReference w:type="default" r:id="rId10"/>
      <w:footerReference w:type="default" r:id="rId11"/>
      <w:pgSz w:w="11906" w:h="16838"/>
      <w:pgMar w:top="-1425" w:right="566" w:bottom="142" w:left="426" w:header="252" w:footer="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C6" w:rsidRDefault="007267C6" w:rsidP="007267C6">
      <w:pPr>
        <w:spacing w:after="0" w:line="240" w:lineRule="auto"/>
      </w:pPr>
      <w:r>
        <w:separator/>
      </w:r>
    </w:p>
  </w:endnote>
  <w:endnote w:type="continuationSeparator" w:id="0">
    <w:p w:rsidR="007267C6" w:rsidRDefault="007267C6" w:rsidP="0072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C6" w:rsidRDefault="007267C6" w:rsidP="007267C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C6" w:rsidRDefault="007267C6" w:rsidP="007267C6">
      <w:pPr>
        <w:spacing w:after="0" w:line="240" w:lineRule="auto"/>
      </w:pPr>
      <w:r>
        <w:separator/>
      </w:r>
    </w:p>
  </w:footnote>
  <w:footnote w:type="continuationSeparator" w:id="0">
    <w:p w:rsidR="007267C6" w:rsidRDefault="007267C6" w:rsidP="00726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7C6" w:rsidRDefault="000D4ECA" w:rsidP="007267C6">
    <w:pPr>
      <w:pStyle w:val="En-tte"/>
      <w:jc w:val="right"/>
    </w:pPr>
    <w:r>
      <w:rPr>
        <w:noProof/>
        <w:lang w:eastAsia="fr-FR"/>
      </w:rPr>
      <w:drawing>
        <wp:inline distT="0" distB="0" distL="0" distR="0" wp14:anchorId="43DFBA22" wp14:editId="78F48BAE">
          <wp:extent cx="1604341" cy="74295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07" cy="744231"/>
                  </a:xfrm>
                  <a:prstGeom prst="rect">
                    <a:avLst/>
                  </a:prstGeom>
                  <a:noFill/>
                  <a:ln>
                    <a:noFill/>
                  </a:ln>
                </pic:spPr>
              </pic:pic>
            </a:graphicData>
          </a:graphic>
        </wp:inline>
      </w:drawing>
    </w:r>
  </w:p>
  <w:p w:rsidR="007267C6" w:rsidRDefault="007267C6" w:rsidP="007267C6">
    <w:pPr>
      <w:pStyle w:val="En-tte"/>
      <w:jc w:val="right"/>
    </w:pPr>
    <w:r>
      <w:rPr>
        <w:i/>
        <w:iCs/>
        <w:color w:val="8C8C8C" w:themeColor="background1" w:themeShade="8C"/>
      </w:rPr>
      <w:t xml:space="preserve">46 rue des </w:t>
    </w:r>
    <w:r w:rsidR="009113F0">
      <w:rPr>
        <w:i/>
        <w:iCs/>
        <w:color w:val="8C8C8C" w:themeColor="background1" w:themeShade="8C"/>
      </w:rPr>
      <w:t>canonniers – 59800 LILLE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96F"/>
    <w:multiLevelType w:val="hybridMultilevel"/>
    <w:tmpl w:val="67B8834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A29"/>
    <w:rsid w:val="00050A3D"/>
    <w:rsid w:val="000B63CD"/>
    <w:rsid w:val="000D4ECA"/>
    <w:rsid w:val="000E4286"/>
    <w:rsid w:val="000F41BF"/>
    <w:rsid w:val="00174AE3"/>
    <w:rsid w:val="003F303E"/>
    <w:rsid w:val="00444DDB"/>
    <w:rsid w:val="00551E0B"/>
    <w:rsid w:val="005915D5"/>
    <w:rsid w:val="00664B02"/>
    <w:rsid w:val="006A3D9C"/>
    <w:rsid w:val="006F3B8E"/>
    <w:rsid w:val="00716B24"/>
    <w:rsid w:val="007267C6"/>
    <w:rsid w:val="0075622D"/>
    <w:rsid w:val="009113F0"/>
    <w:rsid w:val="00914BC5"/>
    <w:rsid w:val="009716EC"/>
    <w:rsid w:val="009C47BA"/>
    <w:rsid w:val="00A6732F"/>
    <w:rsid w:val="00AB2685"/>
    <w:rsid w:val="00BD6F24"/>
    <w:rsid w:val="00C07646"/>
    <w:rsid w:val="00C117A3"/>
    <w:rsid w:val="00CF2CC4"/>
    <w:rsid w:val="00D76D9C"/>
    <w:rsid w:val="00DD38A6"/>
    <w:rsid w:val="00E01FCE"/>
    <w:rsid w:val="00E2547C"/>
    <w:rsid w:val="00E85A14"/>
    <w:rsid w:val="00EC2344"/>
    <w:rsid w:val="00ED5A29"/>
    <w:rsid w:val="00F06E48"/>
    <w:rsid w:val="00F408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9C7E881"/>
  <w15:chartTrackingRefBased/>
  <w15:docId w15:val="{AEF94AE4-B411-4A45-B8E4-AFCF53A3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67C6"/>
    <w:pPr>
      <w:tabs>
        <w:tab w:val="center" w:pos="4536"/>
        <w:tab w:val="right" w:pos="9072"/>
      </w:tabs>
      <w:spacing w:after="0" w:line="240" w:lineRule="auto"/>
    </w:pPr>
  </w:style>
  <w:style w:type="character" w:customStyle="1" w:styleId="En-tteCar">
    <w:name w:val="En-tête Car"/>
    <w:basedOn w:val="Policepardfaut"/>
    <w:link w:val="En-tte"/>
    <w:uiPriority w:val="99"/>
    <w:rsid w:val="007267C6"/>
  </w:style>
  <w:style w:type="paragraph" w:styleId="Pieddepage">
    <w:name w:val="footer"/>
    <w:basedOn w:val="Normal"/>
    <w:link w:val="PieddepageCar"/>
    <w:uiPriority w:val="99"/>
    <w:unhideWhenUsed/>
    <w:rsid w:val="00726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67C6"/>
  </w:style>
  <w:style w:type="paragraph" w:styleId="Sansinterligne">
    <w:name w:val="No Spacing"/>
    <w:uiPriority w:val="1"/>
    <w:qFormat/>
    <w:rsid w:val="00716B24"/>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16B24"/>
    <w:rPr>
      <w:color w:val="0563C1" w:themeColor="hyperlink"/>
      <w:u w:val="single"/>
    </w:rPr>
  </w:style>
  <w:style w:type="paragraph" w:styleId="NormalWeb">
    <w:name w:val="Normal (Web)"/>
    <w:basedOn w:val="Normal"/>
    <w:uiPriority w:val="99"/>
    <w:semiHidden/>
    <w:unhideWhenUsed/>
    <w:rsid w:val="0075622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Grid">
    <w:name w:val="TableGrid"/>
    <w:rsid w:val="005915D5"/>
    <w:pPr>
      <w:spacing w:after="0" w:line="240" w:lineRule="auto"/>
    </w:pPr>
    <w:rPr>
      <w:rFonts w:eastAsiaTheme="minorEastAsia"/>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725889">
      <w:bodyDiv w:val="1"/>
      <w:marLeft w:val="0"/>
      <w:marRight w:val="0"/>
      <w:marTop w:val="0"/>
      <w:marBottom w:val="0"/>
      <w:divBdr>
        <w:top w:val="none" w:sz="0" w:space="0" w:color="auto"/>
        <w:left w:val="none" w:sz="0" w:space="0" w:color="auto"/>
        <w:bottom w:val="none" w:sz="0" w:space="0" w:color="auto"/>
        <w:right w:val="none" w:sz="0" w:space="0" w:color="auto"/>
      </w:divBdr>
    </w:div>
    <w:div w:id="513229463">
      <w:bodyDiv w:val="1"/>
      <w:marLeft w:val="0"/>
      <w:marRight w:val="0"/>
      <w:marTop w:val="0"/>
      <w:marBottom w:val="0"/>
      <w:divBdr>
        <w:top w:val="none" w:sz="0" w:space="0" w:color="auto"/>
        <w:left w:val="none" w:sz="0" w:space="0" w:color="auto"/>
        <w:bottom w:val="none" w:sz="0" w:space="0" w:color="auto"/>
        <w:right w:val="none" w:sz="0" w:space="0" w:color="auto"/>
      </w:divBdr>
    </w:div>
    <w:div w:id="531113239">
      <w:bodyDiv w:val="1"/>
      <w:marLeft w:val="0"/>
      <w:marRight w:val="0"/>
      <w:marTop w:val="0"/>
      <w:marBottom w:val="0"/>
      <w:divBdr>
        <w:top w:val="none" w:sz="0" w:space="0" w:color="auto"/>
        <w:left w:val="none" w:sz="0" w:space="0" w:color="auto"/>
        <w:bottom w:val="none" w:sz="0" w:space="0" w:color="auto"/>
        <w:right w:val="none" w:sz="0" w:space="0" w:color="auto"/>
      </w:divBdr>
      <w:divsChild>
        <w:div w:id="174655879">
          <w:marLeft w:val="446"/>
          <w:marRight w:val="0"/>
          <w:marTop w:val="0"/>
          <w:marBottom w:val="0"/>
          <w:divBdr>
            <w:top w:val="none" w:sz="0" w:space="0" w:color="auto"/>
            <w:left w:val="none" w:sz="0" w:space="0" w:color="auto"/>
            <w:bottom w:val="none" w:sz="0" w:space="0" w:color="auto"/>
            <w:right w:val="none" w:sz="0" w:space="0" w:color="auto"/>
          </w:divBdr>
        </w:div>
        <w:div w:id="782770119">
          <w:marLeft w:val="446"/>
          <w:marRight w:val="0"/>
          <w:marTop w:val="0"/>
          <w:marBottom w:val="0"/>
          <w:divBdr>
            <w:top w:val="none" w:sz="0" w:space="0" w:color="auto"/>
            <w:left w:val="none" w:sz="0" w:space="0" w:color="auto"/>
            <w:bottom w:val="none" w:sz="0" w:space="0" w:color="auto"/>
            <w:right w:val="none" w:sz="0" w:space="0" w:color="auto"/>
          </w:divBdr>
        </w:div>
      </w:divsChild>
    </w:div>
    <w:div w:id="794297594">
      <w:bodyDiv w:val="1"/>
      <w:marLeft w:val="0"/>
      <w:marRight w:val="0"/>
      <w:marTop w:val="0"/>
      <w:marBottom w:val="0"/>
      <w:divBdr>
        <w:top w:val="none" w:sz="0" w:space="0" w:color="auto"/>
        <w:left w:val="none" w:sz="0" w:space="0" w:color="auto"/>
        <w:bottom w:val="none" w:sz="0" w:space="0" w:color="auto"/>
        <w:right w:val="none" w:sz="0" w:space="0" w:color="auto"/>
      </w:divBdr>
      <w:divsChild>
        <w:div w:id="544291345">
          <w:marLeft w:val="446"/>
          <w:marRight w:val="0"/>
          <w:marTop w:val="0"/>
          <w:marBottom w:val="0"/>
          <w:divBdr>
            <w:top w:val="none" w:sz="0" w:space="0" w:color="auto"/>
            <w:left w:val="none" w:sz="0" w:space="0" w:color="auto"/>
            <w:bottom w:val="none" w:sz="0" w:space="0" w:color="auto"/>
            <w:right w:val="none" w:sz="0" w:space="0" w:color="auto"/>
          </w:divBdr>
        </w:div>
        <w:div w:id="464741977">
          <w:marLeft w:val="446"/>
          <w:marRight w:val="0"/>
          <w:marTop w:val="0"/>
          <w:marBottom w:val="0"/>
          <w:divBdr>
            <w:top w:val="none" w:sz="0" w:space="0" w:color="auto"/>
            <w:left w:val="none" w:sz="0" w:space="0" w:color="auto"/>
            <w:bottom w:val="none" w:sz="0" w:space="0" w:color="auto"/>
            <w:right w:val="none" w:sz="0" w:space="0" w:color="auto"/>
          </w:divBdr>
        </w:div>
        <w:div w:id="971591249">
          <w:marLeft w:val="446"/>
          <w:marRight w:val="0"/>
          <w:marTop w:val="0"/>
          <w:marBottom w:val="0"/>
          <w:divBdr>
            <w:top w:val="none" w:sz="0" w:space="0" w:color="auto"/>
            <w:left w:val="none" w:sz="0" w:space="0" w:color="auto"/>
            <w:bottom w:val="none" w:sz="0" w:space="0" w:color="auto"/>
            <w:right w:val="none" w:sz="0" w:space="0" w:color="auto"/>
          </w:divBdr>
        </w:div>
        <w:div w:id="1503620970">
          <w:marLeft w:val="446"/>
          <w:marRight w:val="0"/>
          <w:marTop w:val="0"/>
          <w:marBottom w:val="0"/>
          <w:divBdr>
            <w:top w:val="none" w:sz="0" w:space="0" w:color="auto"/>
            <w:left w:val="none" w:sz="0" w:space="0" w:color="auto"/>
            <w:bottom w:val="none" w:sz="0" w:space="0" w:color="auto"/>
            <w:right w:val="none" w:sz="0" w:space="0" w:color="auto"/>
          </w:divBdr>
        </w:div>
        <w:div w:id="1332636717">
          <w:marLeft w:val="446"/>
          <w:marRight w:val="0"/>
          <w:marTop w:val="0"/>
          <w:marBottom w:val="0"/>
          <w:divBdr>
            <w:top w:val="none" w:sz="0" w:space="0" w:color="auto"/>
            <w:left w:val="none" w:sz="0" w:space="0" w:color="auto"/>
            <w:bottom w:val="none" w:sz="0" w:space="0" w:color="auto"/>
            <w:right w:val="none" w:sz="0" w:space="0" w:color="auto"/>
          </w:divBdr>
        </w:div>
      </w:divsChild>
    </w:div>
    <w:div w:id="1509522079">
      <w:bodyDiv w:val="1"/>
      <w:marLeft w:val="0"/>
      <w:marRight w:val="0"/>
      <w:marTop w:val="0"/>
      <w:marBottom w:val="0"/>
      <w:divBdr>
        <w:top w:val="none" w:sz="0" w:space="0" w:color="auto"/>
        <w:left w:val="none" w:sz="0" w:space="0" w:color="auto"/>
        <w:bottom w:val="none" w:sz="0" w:space="0" w:color="auto"/>
        <w:right w:val="none" w:sz="0" w:space="0" w:color="auto"/>
      </w:divBdr>
    </w:div>
    <w:div w:id="1605965790">
      <w:bodyDiv w:val="1"/>
      <w:marLeft w:val="0"/>
      <w:marRight w:val="0"/>
      <w:marTop w:val="0"/>
      <w:marBottom w:val="0"/>
      <w:divBdr>
        <w:top w:val="none" w:sz="0" w:space="0" w:color="auto"/>
        <w:left w:val="none" w:sz="0" w:space="0" w:color="auto"/>
        <w:bottom w:val="none" w:sz="0" w:space="0" w:color="auto"/>
        <w:right w:val="none" w:sz="0" w:space="0" w:color="auto"/>
      </w:divBdr>
    </w:div>
    <w:div w:id="1714689084">
      <w:bodyDiv w:val="1"/>
      <w:marLeft w:val="0"/>
      <w:marRight w:val="0"/>
      <w:marTop w:val="0"/>
      <w:marBottom w:val="0"/>
      <w:divBdr>
        <w:top w:val="none" w:sz="0" w:space="0" w:color="auto"/>
        <w:left w:val="none" w:sz="0" w:space="0" w:color="auto"/>
        <w:bottom w:val="none" w:sz="0" w:space="0" w:color="auto"/>
        <w:right w:val="none" w:sz="0" w:space="0" w:color="auto"/>
      </w:divBdr>
    </w:div>
    <w:div w:id="19295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2711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THORIS</dc:creator>
  <cp:keywords/>
  <dc:description/>
  <cp:lastModifiedBy>Sidonie Thoris</cp:lastModifiedBy>
  <cp:revision>2</cp:revision>
  <cp:lastPrinted>2024-04-25T09:31:00Z</cp:lastPrinted>
  <dcterms:created xsi:type="dcterms:W3CDTF">2025-04-17T10:49:00Z</dcterms:created>
  <dcterms:modified xsi:type="dcterms:W3CDTF">2025-04-17T10:49:00Z</dcterms:modified>
</cp:coreProperties>
</file>